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6B759" w14:textId="77777777" w:rsidR="000D38DC" w:rsidRPr="007E6394" w:rsidRDefault="007E6394" w:rsidP="007E6394">
      <w:pPr>
        <w:contextualSpacing/>
        <w:jc w:val="center"/>
        <w:rPr>
          <w:b/>
          <w:sz w:val="32"/>
          <w:szCs w:val="32"/>
        </w:rPr>
      </w:pPr>
      <w:r w:rsidRPr="007E6394">
        <w:rPr>
          <w:b/>
          <w:sz w:val="32"/>
          <w:szCs w:val="32"/>
        </w:rPr>
        <w:t>Menard County</w:t>
      </w:r>
    </w:p>
    <w:p w14:paraId="384E0068" w14:textId="1DA23F5C" w:rsidR="00C35BBD" w:rsidRDefault="007E6394" w:rsidP="00C35BBD">
      <w:pPr>
        <w:spacing w:after="100" w:afterAutospacing="1"/>
        <w:contextualSpacing/>
        <w:jc w:val="center"/>
      </w:pPr>
      <w:r>
        <w:t>Treasurer’s Fin</w:t>
      </w:r>
      <w:r w:rsidR="00AA1AA6">
        <w:t xml:space="preserve">ancial Report as of </w:t>
      </w:r>
      <w:r w:rsidR="00766D7C">
        <w:t>September</w:t>
      </w:r>
      <w:r w:rsidR="003B7E91">
        <w:t xml:space="preserve"> </w:t>
      </w:r>
      <w:r w:rsidR="00C74CFE">
        <w:t>3</w:t>
      </w:r>
      <w:r w:rsidR="00766D7C">
        <w:t>0</w:t>
      </w:r>
      <w:r w:rsidR="001859CA">
        <w:t>, 20</w:t>
      </w:r>
      <w:r w:rsidR="00327A21">
        <w:t>20</w:t>
      </w:r>
    </w:p>
    <w:p w14:paraId="2B01173E" w14:textId="77777777" w:rsidR="00C35BBD" w:rsidRPr="004D102C" w:rsidRDefault="00C35BBD" w:rsidP="00C35BBD">
      <w:pPr>
        <w:spacing w:after="100" w:afterAutospacing="1"/>
        <w:contextualSpacing/>
        <w:jc w:val="center"/>
        <w:rPr>
          <w:b/>
          <w:bCs/>
          <w:sz w:val="8"/>
          <w:szCs w:val="8"/>
        </w:rPr>
      </w:pPr>
    </w:p>
    <w:p w14:paraId="61E17358" w14:textId="58ED6462" w:rsidR="00C74CFE" w:rsidRPr="004D102C" w:rsidRDefault="00C74CFE" w:rsidP="00C35BBD">
      <w:pPr>
        <w:spacing w:after="100" w:afterAutospacing="1"/>
        <w:contextualSpacing/>
        <w:rPr>
          <w:b/>
          <w:bCs/>
          <w:u w:val="single"/>
        </w:rPr>
      </w:pPr>
      <w:r w:rsidRPr="004D102C">
        <w:rPr>
          <w:b/>
          <w:bCs/>
          <w:u w:val="single"/>
        </w:rPr>
        <w:t xml:space="preserve">Treasurer’s </w:t>
      </w:r>
      <w:r w:rsidR="00876218" w:rsidRPr="004D102C">
        <w:rPr>
          <w:b/>
          <w:bCs/>
          <w:u w:val="single"/>
        </w:rPr>
        <w:t>Cash Activity</w:t>
      </w:r>
      <w:r w:rsidRPr="004D102C">
        <w:rPr>
          <w:b/>
          <w:bCs/>
          <w:u w:val="single"/>
        </w:rPr>
        <w:t xml:space="preserve"> Analysis</w:t>
      </w:r>
    </w:p>
    <w:p w14:paraId="281EF059" w14:textId="31E05B52" w:rsidR="00AD09C3" w:rsidRDefault="00F6487A" w:rsidP="00C74CFE">
      <w:pPr>
        <w:contextualSpacing/>
      </w:pPr>
      <w:r>
        <w:t>During the month of September 2020 Menard County received $259,962.84 from all fund sources and expended $391,402.39 with a net deficit of $131,439.55 cash flow.   Furthermore, for the fiscal year 2019-20 the County received total income of $4,690,734</w:t>
      </w:r>
      <w:r w:rsidR="004D102C">
        <w:t xml:space="preserve"> </w:t>
      </w:r>
      <w:r>
        <w:t>and expended $5,025,32</w:t>
      </w:r>
      <w:r w:rsidR="004D102C">
        <w:t>5</w:t>
      </w:r>
      <w:r>
        <w:t xml:space="preserve"> for </w:t>
      </w:r>
      <w:r w:rsidR="007B3041">
        <w:t>an</w:t>
      </w:r>
      <w:r>
        <w:t xml:space="preserve"> annual deficit of $334,59</w:t>
      </w:r>
      <w:r w:rsidR="004D102C">
        <w:t>1</w:t>
      </w:r>
      <w:r>
        <w:t xml:space="preserve"> which is </w:t>
      </w:r>
      <w:r w:rsidR="004D102C">
        <w:t xml:space="preserve">more than </w:t>
      </w:r>
      <w:r>
        <w:t>explained by the Courthouse Restoration fund deficit of $496,055.71.</w:t>
      </w:r>
    </w:p>
    <w:p w14:paraId="43684BEB" w14:textId="7C696DCE" w:rsidR="00F6487A" w:rsidRPr="00911821" w:rsidRDefault="00F6487A" w:rsidP="00C74CFE">
      <w:pPr>
        <w:contextualSpacing/>
        <w:rPr>
          <w:sz w:val="8"/>
          <w:szCs w:val="8"/>
        </w:rPr>
      </w:pPr>
    </w:p>
    <w:p w14:paraId="73A683F3" w14:textId="6E0B873F" w:rsidR="004D102C" w:rsidRPr="004D102C" w:rsidRDefault="004D102C" w:rsidP="00C74CFE">
      <w:pPr>
        <w:contextualSpacing/>
        <w:rPr>
          <w:b/>
          <w:bCs/>
        </w:rPr>
      </w:pPr>
      <w:r w:rsidRPr="004D102C">
        <w:rPr>
          <w:b/>
          <w:bCs/>
        </w:rPr>
        <w:t>General Operating Fund</w:t>
      </w:r>
    </w:p>
    <w:p w14:paraId="7CBAF729" w14:textId="09E2F05D" w:rsidR="00F6487A" w:rsidRDefault="00F6487A" w:rsidP="00C74CFE">
      <w:pPr>
        <w:contextualSpacing/>
      </w:pPr>
      <w:r>
        <w:t xml:space="preserve">Menard County’s General Operating fund </w:t>
      </w:r>
      <w:r w:rsidR="00F11222">
        <w:t>enjoyed a positive cash flow in the amount of $142,</w:t>
      </w:r>
      <w:r w:rsidR="00595F07">
        <w:t>902</w:t>
      </w:r>
      <w:r w:rsidR="00F11222">
        <w:t xml:space="preserve"> from total receipts of $3,230,229 and expenses of $3,</w:t>
      </w:r>
      <w:r w:rsidR="00595F07">
        <w:t>087,327</w:t>
      </w:r>
      <w:r w:rsidR="00F11222">
        <w:t>.  A summary of the major revenue sources follows:</w:t>
      </w:r>
    </w:p>
    <w:p w14:paraId="65E86BC7" w14:textId="5B5129C2" w:rsidR="00F11222" w:rsidRDefault="00F11222" w:rsidP="00C74CFE">
      <w:pPr>
        <w:contextualSpacing/>
      </w:pPr>
      <w:r>
        <w:tab/>
      </w:r>
      <w:r>
        <w:tab/>
      </w:r>
      <w:r>
        <w:tab/>
      </w:r>
      <w:r>
        <w:tab/>
        <w:t>Original Budget</w:t>
      </w:r>
      <w:r>
        <w:tab/>
        <w:t>Actual Receipts</w:t>
      </w:r>
      <w:r>
        <w:tab/>
        <w:t>Difference</w:t>
      </w:r>
    </w:p>
    <w:p w14:paraId="0D9F3DB8" w14:textId="02CA984A" w:rsidR="00F11222" w:rsidRDefault="00F11222" w:rsidP="00C74CFE">
      <w:pPr>
        <w:contextualSpacing/>
      </w:pPr>
      <w:r>
        <w:tab/>
        <w:t>Ad Valorem Taxes</w:t>
      </w:r>
      <w:r>
        <w:tab/>
        <w:t>$1,484,503</w:t>
      </w:r>
      <w:r>
        <w:tab/>
      </w:r>
      <w:r>
        <w:tab/>
        <w:t>$1,533,448</w:t>
      </w:r>
      <w:r>
        <w:tab/>
      </w:r>
      <w:r>
        <w:tab/>
        <w:t xml:space="preserve">$  </w:t>
      </w:r>
      <w:r w:rsidR="00CF4694">
        <w:t xml:space="preserve"> </w:t>
      </w:r>
      <w:r>
        <w:t>48,945</w:t>
      </w:r>
      <w:r>
        <w:tab/>
      </w:r>
    </w:p>
    <w:p w14:paraId="3770B6FF" w14:textId="3140EF1A" w:rsidR="00F11222" w:rsidRDefault="00F11222" w:rsidP="00C74CFE">
      <w:pPr>
        <w:contextualSpacing/>
      </w:pPr>
      <w:r>
        <w:tab/>
        <w:t>Sales Taxes</w:t>
      </w:r>
      <w:r>
        <w:tab/>
      </w:r>
      <w:r>
        <w:tab/>
        <w:t>$     59,000</w:t>
      </w:r>
      <w:r>
        <w:tab/>
      </w:r>
      <w:r>
        <w:tab/>
        <w:t>$   204,176</w:t>
      </w:r>
      <w:r>
        <w:tab/>
      </w:r>
      <w:r>
        <w:tab/>
        <w:t>$</w:t>
      </w:r>
      <w:r w:rsidR="00CF4694">
        <w:t xml:space="preserve"> </w:t>
      </w:r>
      <w:r>
        <w:t>145,176</w:t>
      </w:r>
    </w:p>
    <w:p w14:paraId="33AE5C92" w14:textId="23219656" w:rsidR="00F11222" w:rsidRDefault="00F11222" w:rsidP="00C74CFE">
      <w:pPr>
        <w:contextualSpacing/>
      </w:pPr>
      <w:r>
        <w:tab/>
        <w:t>Justice of Peace Fees</w:t>
      </w:r>
      <w:r>
        <w:tab/>
        <w:t>$   764,080</w:t>
      </w:r>
      <w:r>
        <w:tab/>
      </w:r>
      <w:r>
        <w:tab/>
        <w:t>$   958,471</w:t>
      </w:r>
      <w:r>
        <w:tab/>
      </w:r>
      <w:r>
        <w:tab/>
        <w:t>$</w:t>
      </w:r>
      <w:r w:rsidR="00CF4694">
        <w:t xml:space="preserve"> </w:t>
      </w:r>
      <w:r>
        <w:t>194,391</w:t>
      </w:r>
    </w:p>
    <w:p w14:paraId="195BCAD2" w14:textId="5A911C36" w:rsidR="00F11222" w:rsidRDefault="00F11222" w:rsidP="00C74CFE">
      <w:pPr>
        <w:contextualSpacing/>
      </w:pPr>
      <w:r>
        <w:tab/>
        <w:t>RV Park Fees</w:t>
      </w:r>
      <w:r>
        <w:tab/>
      </w:r>
      <w:r>
        <w:tab/>
        <w:t>$     46,000</w:t>
      </w:r>
      <w:r>
        <w:tab/>
      </w:r>
      <w:r>
        <w:tab/>
        <w:t>$   104,185</w:t>
      </w:r>
      <w:r>
        <w:tab/>
      </w:r>
      <w:r>
        <w:tab/>
        <w:t xml:space="preserve">$ </w:t>
      </w:r>
      <w:r w:rsidR="00CF4694">
        <w:t xml:space="preserve"> </w:t>
      </w:r>
      <w:r>
        <w:t xml:space="preserve"> 58,185</w:t>
      </w:r>
    </w:p>
    <w:p w14:paraId="4C011E53" w14:textId="3675A5AB" w:rsidR="00643864" w:rsidRDefault="00643864" w:rsidP="00C74CFE">
      <w:pPr>
        <w:contextualSpacing/>
      </w:pPr>
      <w:r>
        <w:tab/>
        <w:t>Bank Loan Proceeds</w:t>
      </w:r>
      <w:r>
        <w:tab/>
        <w:t>$   150,000</w:t>
      </w:r>
      <w:r>
        <w:tab/>
      </w:r>
      <w:r>
        <w:tab/>
        <w:t>$          -0-</w:t>
      </w:r>
      <w:r>
        <w:tab/>
      </w:r>
      <w:r>
        <w:tab/>
        <w:t>($150,000)</w:t>
      </w:r>
    </w:p>
    <w:p w14:paraId="6FCABBD5" w14:textId="1F6A2D31" w:rsidR="00F11222" w:rsidRDefault="00643864" w:rsidP="00C74CFE">
      <w:pPr>
        <w:contextualSpacing/>
      </w:pPr>
      <w:r>
        <w:tab/>
        <w:t>County Clerk Fees</w:t>
      </w:r>
      <w:r>
        <w:tab/>
        <w:t>$     90,000</w:t>
      </w:r>
      <w:r>
        <w:tab/>
      </w:r>
      <w:r>
        <w:tab/>
        <w:t>$     71,820</w:t>
      </w:r>
      <w:r>
        <w:tab/>
      </w:r>
      <w:r>
        <w:tab/>
        <w:t>($  18,180)</w:t>
      </w:r>
    </w:p>
    <w:p w14:paraId="475478F5" w14:textId="4D1DF7BE" w:rsidR="00643864" w:rsidRDefault="00643864" w:rsidP="00C74CFE">
      <w:pPr>
        <w:contextualSpacing/>
      </w:pPr>
      <w:r>
        <w:tab/>
        <w:t>Prior Year Surplus</w:t>
      </w:r>
      <w:r>
        <w:tab/>
        <w:t>$     28,016</w:t>
      </w:r>
      <w:r>
        <w:tab/>
      </w:r>
      <w:r>
        <w:tab/>
        <w:t>$          -0-</w:t>
      </w:r>
      <w:r>
        <w:tab/>
      </w:r>
      <w:r>
        <w:tab/>
        <w:t>($  28,016)</w:t>
      </w:r>
    </w:p>
    <w:p w14:paraId="11B6125C" w14:textId="7AEB7077" w:rsidR="00643864" w:rsidRDefault="00643864" w:rsidP="00C74CFE">
      <w:pPr>
        <w:contextualSpacing/>
        <w:rPr>
          <w:u w:val="single"/>
        </w:rPr>
      </w:pPr>
      <w:r>
        <w:tab/>
        <w:t>Other Sources</w:t>
      </w:r>
      <w:r>
        <w:tab/>
      </w:r>
      <w:r>
        <w:tab/>
      </w:r>
      <w:r w:rsidR="00CF4694" w:rsidRPr="00CF4694">
        <w:rPr>
          <w:u w:val="single"/>
        </w:rPr>
        <w:t>$   30</w:t>
      </w:r>
      <w:r w:rsidR="00CF4694">
        <w:rPr>
          <w:u w:val="single"/>
        </w:rPr>
        <w:t>5</w:t>
      </w:r>
      <w:r w:rsidR="00CF4694" w:rsidRPr="00CF4694">
        <w:rPr>
          <w:u w:val="single"/>
        </w:rPr>
        <w:t>,198</w:t>
      </w:r>
      <w:r w:rsidR="00CF4694" w:rsidRPr="00CF4694">
        <w:tab/>
      </w:r>
      <w:r w:rsidR="00CF4694" w:rsidRPr="00CF4694">
        <w:tab/>
      </w:r>
      <w:r w:rsidR="00CF4694">
        <w:rPr>
          <w:u w:val="single"/>
        </w:rPr>
        <w:t>$   358,129</w:t>
      </w:r>
      <w:r w:rsidR="00CF4694" w:rsidRPr="00CF4694">
        <w:tab/>
      </w:r>
      <w:r w:rsidR="00CF4694" w:rsidRPr="00CF4694">
        <w:tab/>
      </w:r>
      <w:r w:rsidR="00CF4694">
        <w:rPr>
          <w:u w:val="single"/>
        </w:rPr>
        <w:t>$    52,931</w:t>
      </w:r>
    </w:p>
    <w:p w14:paraId="2ED30669" w14:textId="13CCAC67" w:rsidR="00CF4694" w:rsidRDefault="00CF4694" w:rsidP="00CF4694">
      <w:pPr>
        <w:ind w:firstLine="720"/>
        <w:contextualSpacing/>
      </w:pPr>
      <w:r>
        <w:t>Total Revenue</w:t>
      </w:r>
      <w:r>
        <w:tab/>
      </w:r>
      <w:r>
        <w:tab/>
        <w:t>$2,926,797</w:t>
      </w:r>
      <w:r w:rsidR="001E1ACC">
        <w:tab/>
      </w:r>
      <w:r w:rsidR="001E1ACC">
        <w:tab/>
        <w:t>$3,230,229</w:t>
      </w:r>
      <w:r w:rsidR="001E1ACC">
        <w:tab/>
      </w:r>
      <w:r w:rsidR="001E1ACC">
        <w:tab/>
        <w:t>$  303,432</w:t>
      </w:r>
    </w:p>
    <w:p w14:paraId="2DFEA497" w14:textId="1CFCFF09" w:rsidR="001E1ACC" w:rsidRDefault="001E1ACC" w:rsidP="00CF4694">
      <w:pPr>
        <w:ind w:firstLine="720"/>
        <w:contextualSpacing/>
      </w:pPr>
    </w:p>
    <w:p w14:paraId="30D0CF5E" w14:textId="556E3B71" w:rsidR="001E1ACC" w:rsidRPr="001E1ACC" w:rsidRDefault="001E1ACC" w:rsidP="00CF4694">
      <w:pPr>
        <w:ind w:firstLine="720"/>
        <w:contextualSpacing/>
        <w:rPr>
          <w:u w:val="single"/>
        </w:rPr>
      </w:pPr>
      <w:r>
        <w:t>Total Expenses</w:t>
      </w:r>
      <w:r>
        <w:tab/>
        <w:t>$2,926,797</w:t>
      </w:r>
      <w:r>
        <w:tab/>
      </w:r>
      <w:r>
        <w:tab/>
        <w:t>$3,08</w:t>
      </w:r>
      <w:r w:rsidR="00595F07">
        <w:t>7,327</w:t>
      </w:r>
      <w:r>
        <w:tab/>
      </w:r>
      <w:r>
        <w:tab/>
      </w:r>
      <w:r w:rsidRPr="001E1ACC">
        <w:rPr>
          <w:u w:val="single"/>
        </w:rPr>
        <w:t>($ 160,</w:t>
      </w:r>
      <w:r w:rsidR="00595F07">
        <w:rPr>
          <w:u w:val="single"/>
        </w:rPr>
        <w:t>530</w:t>
      </w:r>
      <w:r w:rsidRPr="001E1ACC">
        <w:rPr>
          <w:u w:val="single"/>
        </w:rPr>
        <w:t>)</w:t>
      </w:r>
    </w:p>
    <w:p w14:paraId="1B22686F" w14:textId="00EB4289" w:rsidR="00F11222" w:rsidRPr="003D1B13" w:rsidRDefault="001E1ACC" w:rsidP="00C74CFE">
      <w:pPr>
        <w:contextualSpacing/>
        <w:rPr>
          <w:b/>
          <w:bCs/>
        </w:rPr>
      </w:pPr>
      <w:r>
        <w:tab/>
      </w:r>
      <w:r w:rsidRPr="003D1B13">
        <w:rPr>
          <w:b/>
          <w:bCs/>
        </w:rPr>
        <w:t>Net Gain For Fiscal Year</w:t>
      </w:r>
      <w:r w:rsidRPr="003D1B13">
        <w:rPr>
          <w:b/>
          <w:bCs/>
        </w:rPr>
        <w:tab/>
      </w:r>
      <w:r w:rsidRPr="003D1B13">
        <w:rPr>
          <w:b/>
          <w:bCs/>
        </w:rPr>
        <w:tab/>
      </w:r>
      <w:r w:rsidRPr="003D1B13">
        <w:rPr>
          <w:b/>
          <w:bCs/>
        </w:rPr>
        <w:tab/>
      </w:r>
      <w:r w:rsidRPr="003D1B13">
        <w:rPr>
          <w:b/>
          <w:bCs/>
        </w:rPr>
        <w:tab/>
      </w:r>
      <w:r w:rsidRPr="003D1B13">
        <w:rPr>
          <w:b/>
          <w:bCs/>
        </w:rPr>
        <w:tab/>
      </w:r>
      <w:r w:rsidRPr="003D1B13">
        <w:rPr>
          <w:b/>
          <w:bCs/>
        </w:rPr>
        <w:tab/>
        <w:t xml:space="preserve"> </w:t>
      </w:r>
      <w:proofErr w:type="gramStart"/>
      <w:r w:rsidRPr="003D1B13">
        <w:rPr>
          <w:b/>
          <w:bCs/>
        </w:rPr>
        <w:t>$  142,</w:t>
      </w:r>
      <w:r w:rsidR="00595F07">
        <w:rPr>
          <w:b/>
          <w:bCs/>
        </w:rPr>
        <w:t>902</w:t>
      </w:r>
      <w:proofErr w:type="gramEnd"/>
    </w:p>
    <w:p w14:paraId="61639578" w14:textId="77777777" w:rsidR="00187B96" w:rsidRPr="002E4366" w:rsidRDefault="00187B96" w:rsidP="00C74CFE">
      <w:pPr>
        <w:contextualSpacing/>
        <w:rPr>
          <w:sz w:val="16"/>
          <w:szCs w:val="16"/>
        </w:rPr>
      </w:pPr>
    </w:p>
    <w:p w14:paraId="309B6C70" w14:textId="072AB9A4" w:rsidR="00187B96" w:rsidRDefault="00B3350B" w:rsidP="00C74CFE">
      <w:pPr>
        <w:contextualSpacing/>
        <w:rPr>
          <w:b/>
          <w:bCs/>
        </w:rPr>
      </w:pPr>
      <w:r w:rsidRPr="00B3350B">
        <w:rPr>
          <w:b/>
          <w:bCs/>
        </w:rPr>
        <w:t>Road &amp; Bridge Fund</w:t>
      </w:r>
    </w:p>
    <w:p w14:paraId="54143C7C" w14:textId="359A28C2" w:rsidR="00187B96" w:rsidRDefault="000C5220" w:rsidP="00C74CFE">
      <w:pPr>
        <w:contextualSpacing/>
      </w:pPr>
      <w:r w:rsidRPr="000C5220">
        <w:t xml:space="preserve">FEMA Officials </w:t>
      </w:r>
      <w:r w:rsidR="00D06EC9">
        <w:t>continue their</w:t>
      </w:r>
      <w:r w:rsidR="002E4366">
        <w:t xml:space="preserve"> </w:t>
      </w:r>
      <w:r w:rsidRPr="000C5220">
        <w:t>assur</w:t>
      </w:r>
      <w:r w:rsidR="002E4366">
        <w:t>ances that</w:t>
      </w:r>
      <w:r w:rsidRPr="000C5220">
        <w:t xml:space="preserve"> the County will receive the requested $181,472</w:t>
      </w:r>
      <w:r w:rsidR="00D06EC9">
        <w:t>.</w:t>
      </w:r>
      <w:r>
        <w:t xml:space="preserve"> </w:t>
      </w:r>
      <w:r w:rsidR="00B3350B">
        <w:t xml:space="preserve">The financial summary </w:t>
      </w:r>
      <w:r w:rsidR="00D06EC9">
        <w:t xml:space="preserve">as of September 30, 2020 </w:t>
      </w:r>
      <w:r w:rsidR="00B3350B">
        <w:t>for the R&amp;B is as follows:</w:t>
      </w:r>
    </w:p>
    <w:p w14:paraId="6AAA262F" w14:textId="7FE33117" w:rsidR="00B3350B" w:rsidRDefault="00B3350B" w:rsidP="00C74CFE">
      <w:pPr>
        <w:contextualSpacing/>
      </w:pPr>
      <w:r>
        <w:tab/>
        <w:t>Revenue</w:t>
      </w:r>
      <w:r>
        <w:tab/>
      </w:r>
      <w:r>
        <w:tab/>
      </w:r>
      <w:r>
        <w:tab/>
        <w:t>$3</w:t>
      </w:r>
      <w:r w:rsidR="00D06EC9">
        <w:t>98,752</w:t>
      </w:r>
    </w:p>
    <w:p w14:paraId="6AC20600" w14:textId="77777777" w:rsidR="00B3350B" w:rsidRPr="002E4366" w:rsidRDefault="00B3350B" w:rsidP="00C74CFE">
      <w:pPr>
        <w:contextualSpacing/>
        <w:rPr>
          <w:sz w:val="16"/>
          <w:szCs w:val="16"/>
        </w:rPr>
      </w:pPr>
    </w:p>
    <w:p w14:paraId="5C0DDABE" w14:textId="107B2BA8" w:rsidR="00187B96" w:rsidRDefault="00B3350B" w:rsidP="00C74CFE">
      <w:pPr>
        <w:contextualSpacing/>
      </w:pPr>
      <w:r>
        <w:tab/>
        <w:t>Payroll</w:t>
      </w:r>
      <w:r>
        <w:tab/>
      </w:r>
      <w:r>
        <w:tab/>
      </w:r>
      <w:r w:rsidR="00D06EC9">
        <w:t>$</w:t>
      </w:r>
      <w:r>
        <w:t>2</w:t>
      </w:r>
      <w:r w:rsidR="00D06EC9">
        <w:t>56,500</w:t>
      </w:r>
    </w:p>
    <w:p w14:paraId="456376BE" w14:textId="178E83A0" w:rsidR="00550A7C" w:rsidRDefault="00B3350B" w:rsidP="00C74CFE">
      <w:pPr>
        <w:contextualSpacing/>
        <w:rPr>
          <w:u w:val="single"/>
        </w:rPr>
      </w:pPr>
      <w:r>
        <w:tab/>
        <w:t>Operations</w:t>
      </w:r>
      <w:r>
        <w:tab/>
      </w:r>
      <w:r w:rsidR="00D06EC9">
        <w:t>$</w:t>
      </w:r>
      <w:r w:rsidRPr="00B3350B">
        <w:rPr>
          <w:u w:val="single"/>
        </w:rPr>
        <w:t>1</w:t>
      </w:r>
      <w:r w:rsidR="002E623D">
        <w:rPr>
          <w:u w:val="single"/>
        </w:rPr>
        <w:t>6</w:t>
      </w:r>
      <w:r w:rsidR="00550A7C">
        <w:rPr>
          <w:u w:val="single"/>
        </w:rPr>
        <w:t>3,761</w:t>
      </w:r>
    </w:p>
    <w:p w14:paraId="2681037D" w14:textId="464E035E" w:rsidR="00B3350B" w:rsidRPr="000C5220" w:rsidRDefault="00B3350B" w:rsidP="00C74CFE">
      <w:pPr>
        <w:contextualSpacing/>
        <w:rPr>
          <w:u w:val="single"/>
        </w:rPr>
      </w:pPr>
      <w:r w:rsidRPr="000C5220">
        <w:tab/>
        <w:t>Total Expenses</w:t>
      </w:r>
      <w:r w:rsidRPr="000C5220">
        <w:tab/>
      </w:r>
      <w:r w:rsidRPr="000C5220">
        <w:tab/>
      </w:r>
      <w:r w:rsidR="00134405">
        <w:t xml:space="preserve"> </w:t>
      </w:r>
      <w:r w:rsidRPr="000C5220">
        <w:rPr>
          <w:u w:val="single"/>
        </w:rPr>
        <w:t>$</w:t>
      </w:r>
      <w:r w:rsidR="002E623D">
        <w:rPr>
          <w:u w:val="single"/>
        </w:rPr>
        <w:t>42</w:t>
      </w:r>
      <w:r w:rsidR="00550A7C">
        <w:rPr>
          <w:u w:val="single"/>
        </w:rPr>
        <w:t>0,261</w:t>
      </w:r>
    </w:p>
    <w:p w14:paraId="665997D6" w14:textId="1622E3A8" w:rsidR="00B3350B" w:rsidRPr="002E4366" w:rsidRDefault="00B3350B" w:rsidP="00C74CFE">
      <w:pPr>
        <w:contextualSpacing/>
        <w:rPr>
          <w:sz w:val="16"/>
          <w:szCs w:val="16"/>
        </w:rPr>
      </w:pPr>
    </w:p>
    <w:p w14:paraId="5384619F" w14:textId="688AB4EC" w:rsidR="00B3350B" w:rsidRDefault="000C5220" w:rsidP="00C74CFE">
      <w:pPr>
        <w:contextualSpacing/>
      </w:pPr>
      <w:r w:rsidRPr="000C5220">
        <w:t>Temporary Shortfall</w:t>
      </w:r>
      <w:r>
        <w:tab/>
      </w:r>
      <w:r>
        <w:tab/>
      </w:r>
      <w:r>
        <w:tab/>
      </w:r>
      <w:r w:rsidR="00134405">
        <w:t xml:space="preserve"> </w:t>
      </w:r>
      <w:r>
        <w:t>($</w:t>
      </w:r>
      <w:r w:rsidR="000536D5">
        <w:t>2</w:t>
      </w:r>
      <w:r w:rsidR="00550A7C">
        <w:t>1,509</w:t>
      </w:r>
      <w:r>
        <w:t>)</w:t>
      </w:r>
    </w:p>
    <w:p w14:paraId="271DE952" w14:textId="24C0C5D0" w:rsidR="00187B96" w:rsidRPr="00911821" w:rsidRDefault="00187B96" w:rsidP="00C74CFE">
      <w:pPr>
        <w:contextualSpacing/>
        <w:rPr>
          <w:sz w:val="8"/>
          <w:szCs w:val="8"/>
        </w:rPr>
      </w:pPr>
    </w:p>
    <w:p w14:paraId="2488CD14" w14:textId="1F991858" w:rsidR="00550A7C" w:rsidRDefault="00911821" w:rsidP="00C74CFE">
      <w:pPr>
        <w:contextualSpacing/>
      </w:pPr>
      <w:r w:rsidRPr="00911821">
        <w:rPr>
          <w:b/>
          <w:bCs/>
        </w:rPr>
        <w:t>Special Report</w:t>
      </w:r>
      <w:r>
        <w:rPr>
          <w:b/>
          <w:bCs/>
        </w:rPr>
        <w:t xml:space="preserve"> - </w:t>
      </w:r>
      <w:r w:rsidRPr="00EF57C6">
        <w:rPr>
          <w:b/>
          <w:bCs/>
        </w:rPr>
        <w:t>Community Center</w:t>
      </w:r>
    </w:p>
    <w:p w14:paraId="69AB5FEC" w14:textId="526A0355" w:rsidR="00550A7C" w:rsidRDefault="00911821" w:rsidP="00C74CFE">
      <w:pPr>
        <w:contextualSpacing/>
      </w:pPr>
      <w:r>
        <w:t>The Community Center’s financial recording has been incorporated into the General Fund as of September 30, 2020.  All financial transactions will now be recorded within the General Fund.  As of September 30, 2020, the Community Centers 2019-20 transactions were:</w:t>
      </w:r>
    </w:p>
    <w:p w14:paraId="480EC266" w14:textId="6653967B" w:rsidR="00911821" w:rsidRDefault="00911821" w:rsidP="00C74CFE">
      <w:pPr>
        <w:contextualSpacing/>
      </w:pPr>
      <w:r>
        <w:tab/>
        <w:t>Revenue</w:t>
      </w:r>
      <w:r>
        <w:tab/>
        <w:t>Meal Sales &amp; CVCOG Support</w:t>
      </w:r>
      <w:r>
        <w:tab/>
      </w:r>
      <w:r>
        <w:tab/>
      </w:r>
      <w:proofErr w:type="gramStart"/>
      <w:r>
        <w:t>$</w:t>
      </w:r>
      <w:r w:rsidR="00B71B22">
        <w:t xml:space="preserve">  </w:t>
      </w:r>
      <w:r>
        <w:t>25,078.73</w:t>
      </w:r>
      <w:proofErr w:type="gramEnd"/>
    </w:p>
    <w:p w14:paraId="7D69C789" w14:textId="4C27800A" w:rsidR="00911821" w:rsidRDefault="00911821" w:rsidP="00C74CFE">
      <w:pPr>
        <w:contextualSpacing/>
      </w:pPr>
      <w:r>
        <w:tab/>
      </w:r>
      <w:r>
        <w:tab/>
      </w:r>
      <w:r>
        <w:tab/>
        <w:t>Ad Valor</w:t>
      </w:r>
      <w:r w:rsidR="00B71B22">
        <w:t>e</w:t>
      </w:r>
      <w:r>
        <w:t xml:space="preserve">m </w:t>
      </w:r>
      <w:r w:rsidR="00B71B22">
        <w:t>tax Support</w:t>
      </w:r>
      <w:r w:rsidR="00B71B22">
        <w:tab/>
      </w:r>
      <w:r w:rsidR="00B71B22">
        <w:tab/>
      </w:r>
      <w:r w:rsidR="00B71B22">
        <w:tab/>
      </w:r>
      <w:r w:rsidR="00B71B22" w:rsidRPr="00B71B22">
        <w:rPr>
          <w:u w:val="single"/>
        </w:rPr>
        <w:t>$119,963.09</w:t>
      </w:r>
    </w:p>
    <w:p w14:paraId="4217DF67" w14:textId="18FB55D0" w:rsidR="00911821" w:rsidRDefault="00911821" w:rsidP="00C74CFE">
      <w:pPr>
        <w:contextualSpacing/>
      </w:pPr>
      <w:r>
        <w:tab/>
        <w:t>Expenses</w:t>
      </w:r>
      <w:r w:rsidR="00B71B22">
        <w:t>/Total Operation</w:t>
      </w:r>
      <w:r w:rsidR="00B71B22">
        <w:tab/>
      </w:r>
      <w:r w:rsidR="00B71B22">
        <w:tab/>
      </w:r>
      <w:r w:rsidR="00B71B22">
        <w:tab/>
      </w:r>
      <w:r w:rsidR="00B71B22">
        <w:tab/>
      </w:r>
      <w:r w:rsidR="00B71B22">
        <w:tab/>
        <w:t>$145,041.82</w:t>
      </w:r>
    </w:p>
    <w:p w14:paraId="4D142709" w14:textId="69F31C57" w:rsidR="00187B96" w:rsidRPr="0023683D" w:rsidRDefault="0023683D" w:rsidP="00C74CFE">
      <w:pPr>
        <w:contextualSpacing/>
        <w:rPr>
          <w:b/>
          <w:bCs/>
        </w:rPr>
      </w:pPr>
      <w:r w:rsidRPr="0023683D">
        <w:rPr>
          <w:b/>
          <w:bCs/>
        </w:rPr>
        <w:t>Courthouse Restoration</w:t>
      </w:r>
    </w:p>
    <w:p w14:paraId="0BD93D86" w14:textId="313D0734" w:rsidR="00187B96" w:rsidRDefault="00550A7C" w:rsidP="00C74CFE">
      <w:pPr>
        <w:contextualSpacing/>
      </w:pPr>
      <w:r>
        <w:t xml:space="preserve">The year-to-date activities include expenditures of $1,314,938 and revenue of $818,881.82 producing a </w:t>
      </w:r>
      <w:r w:rsidR="00EB2CA5">
        <w:t>cash flow</w:t>
      </w:r>
      <w:r>
        <w:t xml:space="preserve"> shortfall of </w:t>
      </w:r>
      <w:r w:rsidR="00EB2CA5">
        <w:t xml:space="preserve">$496,056.  The beginning cash balance on September 1, 2019 was $272,236 leaving a year end cash balance of ($223,820).  As tax collections are received in </w:t>
      </w:r>
      <w:r w:rsidR="007B3041">
        <w:t>October 2020,</w:t>
      </w:r>
      <w:r w:rsidR="00EB2CA5">
        <w:t xml:space="preserve"> we will have resources to compete the cash-match </w:t>
      </w:r>
      <w:r w:rsidR="007B3041">
        <w:t>requirement</w:t>
      </w:r>
      <w:r w:rsidR="00EB2CA5">
        <w:t xml:space="preserve"> to coordinate payments to J.C. Stoddard and receipts from the Texas Historical Commission enabling the closure to the Courthouse Restoration.</w:t>
      </w:r>
    </w:p>
    <w:p w14:paraId="57F899D2" w14:textId="77320279" w:rsidR="00EB2CA5" w:rsidRDefault="00EB2CA5" w:rsidP="00C74CFE">
      <w:pPr>
        <w:contextualSpacing/>
      </w:pPr>
    </w:p>
    <w:p w14:paraId="5495DF75" w14:textId="4E00896D" w:rsidR="00EB2CA5" w:rsidRDefault="00EB2CA5" w:rsidP="00C74CFE">
      <w:pPr>
        <w:contextualSpacing/>
        <w:rPr>
          <w:b/>
          <w:bCs/>
        </w:rPr>
      </w:pPr>
      <w:r w:rsidRPr="00EB2CA5">
        <w:rPr>
          <w:b/>
          <w:bCs/>
        </w:rPr>
        <w:t>Debt Service Fund</w:t>
      </w:r>
    </w:p>
    <w:p w14:paraId="05A4FCC2" w14:textId="3EC4C967" w:rsidR="007B3041" w:rsidRDefault="007B3041" w:rsidP="00C74CFE">
      <w:pPr>
        <w:contextualSpacing/>
      </w:pPr>
      <w:r w:rsidRPr="007B3041">
        <w:t>Debt requirements for 2019-20 were $149,46</w:t>
      </w:r>
      <w:r w:rsidR="005A314B">
        <w:t>8</w:t>
      </w:r>
      <w:r>
        <w:t xml:space="preserve"> and revenue from all sources totaled </w:t>
      </w:r>
      <w:r w:rsidR="005A314B">
        <w:t>$149,909 which is summarized as follows:</w:t>
      </w:r>
    </w:p>
    <w:p w14:paraId="1E6F3DDA" w14:textId="2CA487F9" w:rsidR="005A314B" w:rsidRDefault="005A314B" w:rsidP="00C74CFE">
      <w:pPr>
        <w:contextualSpacing/>
      </w:pPr>
    </w:p>
    <w:p w14:paraId="3F0122A4" w14:textId="377FDF13" w:rsidR="005A314B" w:rsidRDefault="005A314B" w:rsidP="00C74CFE">
      <w:pPr>
        <w:contextualSpacing/>
      </w:pPr>
      <w:r>
        <w:tab/>
      </w:r>
      <w:r>
        <w:tab/>
        <w:t>Tax Collections</w:t>
      </w:r>
      <w:r>
        <w:tab/>
      </w:r>
      <w:r>
        <w:tab/>
      </w:r>
      <w:r w:rsidR="004D102C">
        <w:t xml:space="preserve"> </w:t>
      </w:r>
      <w:r>
        <w:t>$129,909</w:t>
      </w:r>
    </w:p>
    <w:p w14:paraId="4A4403A0" w14:textId="362FAF6E" w:rsidR="005A314B" w:rsidRDefault="005A314B" w:rsidP="00C74CFE">
      <w:pPr>
        <w:contextualSpacing/>
        <w:rPr>
          <w:u w:val="single"/>
        </w:rPr>
      </w:pPr>
      <w:r>
        <w:tab/>
      </w:r>
      <w:r>
        <w:tab/>
        <w:t>General Fund Transfer</w:t>
      </w:r>
      <w:r>
        <w:tab/>
      </w:r>
      <w:r w:rsidR="004D102C">
        <w:t xml:space="preserve"> </w:t>
      </w:r>
      <w:r w:rsidRPr="00EA0FB0">
        <w:rPr>
          <w:u w:val="single"/>
        </w:rPr>
        <w:t>$  20,000</w:t>
      </w:r>
    </w:p>
    <w:p w14:paraId="67DB54B1" w14:textId="20046F30" w:rsidR="00EA0FB0" w:rsidRDefault="00EA0FB0" w:rsidP="00C74CFE">
      <w:pPr>
        <w:contextualSpacing/>
      </w:pPr>
      <w:r w:rsidRPr="00EA0FB0">
        <w:tab/>
      </w:r>
      <w:r w:rsidRPr="00EA0FB0">
        <w:tab/>
        <w:t>Total Debt Service Revenue</w:t>
      </w:r>
      <w:r w:rsidRPr="00EA0FB0">
        <w:tab/>
      </w:r>
      <w:r w:rsidR="004D102C">
        <w:t xml:space="preserve"> </w:t>
      </w:r>
      <w:r w:rsidRPr="00EA0FB0">
        <w:t>$149,909</w:t>
      </w:r>
    </w:p>
    <w:p w14:paraId="4BB86D41" w14:textId="7D443B2A" w:rsidR="00EA0FB0" w:rsidRDefault="00EA0FB0" w:rsidP="00C74CFE">
      <w:pPr>
        <w:contextualSpacing/>
      </w:pPr>
    </w:p>
    <w:p w14:paraId="3D9EB152" w14:textId="652A5A01" w:rsidR="00EA0FB0" w:rsidRDefault="00EA0FB0" w:rsidP="00C74CFE">
      <w:pPr>
        <w:contextualSpacing/>
      </w:pPr>
      <w:r>
        <w:t xml:space="preserve">The beginning fund balance on 10-01-2019  </w:t>
      </w:r>
      <w:r w:rsidR="004D102C">
        <w:t xml:space="preserve"> </w:t>
      </w:r>
      <w:r>
        <w:t>$   2,848.63</w:t>
      </w:r>
    </w:p>
    <w:p w14:paraId="2B245796" w14:textId="24CBC2D7" w:rsidR="00EA0FB0" w:rsidRDefault="00EA0FB0" w:rsidP="00C74CFE">
      <w:pPr>
        <w:contextualSpacing/>
        <w:rPr>
          <w:u w:val="single"/>
        </w:rPr>
      </w:pPr>
      <w:r>
        <w:t>Positive cash flow 2019-20</w:t>
      </w:r>
      <w:r>
        <w:tab/>
      </w:r>
      <w:r>
        <w:tab/>
      </w:r>
      <w:r>
        <w:tab/>
      </w:r>
      <w:r w:rsidR="004D102C">
        <w:t xml:space="preserve"> </w:t>
      </w:r>
      <w:r w:rsidRPr="00EA0FB0">
        <w:rPr>
          <w:u w:val="single"/>
        </w:rPr>
        <w:t>$     440.95</w:t>
      </w:r>
    </w:p>
    <w:p w14:paraId="53623298" w14:textId="543D01A4" w:rsidR="00EA0FB0" w:rsidRDefault="00EA0FB0" w:rsidP="00C74CFE">
      <w:pPr>
        <w:contextualSpacing/>
      </w:pPr>
      <w:r w:rsidRPr="00EA0FB0">
        <w:t>Ending Cash Balance 9-30-2020</w:t>
      </w:r>
      <w:r>
        <w:tab/>
      </w:r>
      <w:r>
        <w:tab/>
      </w:r>
      <w:r w:rsidR="004D102C">
        <w:t xml:space="preserve"> </w:t>
      </w:r>
      <w:proofErr w:type="gramStart"/>
      <w:r>
        <w:t>$  3,289.58</w:t>
      </w:r>
      <w:proofErr w:type="gramEnd"/>
    </w:p>
    <w:p w14:paraId="4374E338" w14:textId="763DB1BC" w:rsidR="00BF2FB4" w:rsidRDefault="00BF2FB4" w:rsidP="00C74CFE">
      <w:pPr>
        <w:contextualSpacing/>
      </w:pPr>
    </w:p>
    <w:p w14:paraId="37D863B2" w14:textId="3D7EA57A" w:rsidR="00BF2FB4" w:rsidRPr="00CF2328" w:rsidRDefault="00BF2FB4" w:rsidP="00C74CFE">
      <w:pPr>
        <w:contextualSpacing/>
        <w:rPr>
          <w:b/>
          <w:bCs/>
        </w:rPr>
      </w:pPr>
      <w:r w:rsidRPr="00CF2328">
        <w:rPr>
          <w:b/>
          <w:bCs/>
        </w:rPr>
        <w:t>County Attorney – Office Set-up Status</w:t>
      </w:r>
    </w:p>
    <w:p w14:paraId="3E9F0A51" w14:textId="6E0B69DB" w:rsidR="00BF2FB4" w:rsidRDefault="00BF2FB4" w:rsidP="00C74CFE">
      <w:pPr>
        <w:contextualSpacing/>
      </w:pPr>
      <w:r>
        <w:t>During the 2019-20 fiscal year funds were allocated to the County Attorney’s office for set-up expenses including new software, furniture, and equipment.  Since the County Attorney was unable to occupy the office space while the Courthouse was under construction renovation there is a need to consider roll-over funding into 2020-21 fiscal year to complete the new office needs.  It is recommended that special consideration be granted for a budget amendment to accommodate the following needs:</w:t>
      </w:r>
    </w:p>
    <w:p w14:paraId="46E8F1BE" w14:textId="159987AB" w:rsidR="00BF2FB4" w:rsidRDefault="00BF2FB4" w:rsidP="00C74CFE">
      <w:pPr>
        <w:contextualSpacing/>
      </w:pPr>
      <w:r>
        <w:tab/>
      </w:r>
      <w:r>
        <w:tab/>
      </w:r>
      <w:r>
        <w:tab/>
        <w:t>Software start-up Costs</w:t>
      </w:r>
      <w:r>
        <w:tab/>
        <w:t>$1,200</w:t>
      </w:r>
    </w:p>
    <w:p w14:paraId="3DF66351" w14:textId="1CE2F24B" w:rsidR="00BF2FB4" w:rsidRDefault="00BF2FB4" w:rsidP="00C74CFE">
      <w:pPr>
        <w:contextualSpacing/>
      </w:pPr>
      <w:r>
        <w:tab/>
      </w:r>
      <w:r>
        <w:tab/>
      </w:r>
      <w:r>
        <w:tab/>
        <w:t>Furniture</w:t>
      </w:r>
      <w:r>
        <w:tab/>
      </w:r>
      <w:r>
        <w:tab/>
      </w:r>
      <w:r>
        <w:tab/>
        <w:t>$   500</w:t>
      </w:r>
    </w:p>
    <w:p w14:paraId="4975FB2A" w14:textId="5D91700A" w:rsidR="00BF2FB4" w:rsidRDefault="00BF2FB4" w:rsidP="00C74CFE">
      <w:pPr>
        <w:contextualSpacing/>
        <w:rPr>
          <w:u w:val="single"/>
        </w:rPr>
      </w:pPr>
      <w:r>
        <w:tab/>
      </w:r>
      <w:r>
        <w:tab/>
      </w:r>
      <w:r>
        <w:tab/>
        <w:t>Equipment</w:t>
      </w:r>
      <w:r>
        <w:tab/>
      </w:r>
      <w:r>
        <w:tab/>
      </w:r>
      <w:r>
        <w:tab/>
      </w:r>
      <w:r w:rsidRPr="00BF2FB4">
        <w:rPr>
          <w:u w:val="single"/>
        </w:rPr>
        <w:t>$   500</w:t>
      </w:r>
    </w:p>
    <w:p w14:paraId="2F842A97" w14:textId="09DB6669" w:rsidR="00BF2FB4" w:rsidRPr="00BF2FB4" w:rsidRDefault="00BF2FB4" w:rsidP="00C74CFE">
      <w:pPr>
        <w:contextualSpacing/>
      </w:pPr>
      <w:r w:rsidRPr="00BF2FB4">
        <w:tab/>
      </w:r>
      <w:r w:rsidRPr="00BF2FB4">
        <w:tab/>
      </w:r>
      <w:r w:rsidRPr="00BF2FB4">
        <w:tab/>
        <w:t>Total Roll-over</w:t>
      </w:r>
      <w:r w:rsidRPr="00BF2FB4">
        <w:tab/>
      </w:r>
      <w:r w:rsidRPr="00BF2FB4">
        <w:tab/>
        <w:t>$2,200</w:t>
      </w:r>
    </w:p>
    <w:sectPr w:rsidR="00BF2FB4" w:rsidRPr="00BF2FB4" w:rsidSect="00F73859">
      <w:footerReference w:type="default" r:id="rId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3B198" w14:textId="77777777" w:rsidR="00A50EAD" w:rsidRDefault="00A50EAD" w:rsidP="004A0A98">
      <w:pPr>
        <w:spacing w:after="0" w:line="240" w:lineRule="auto"/>
      </w:pPr>
      <w:r>
        <w:separator/>
      </w:r>
    </w:p>
  </w:endnote>
  <w:endnote w:type="continuationSeparator" w:id="0">
    <w:p w14:paraId="4E611F52" w14:textId="77777777" w:rsidR="00A50EAD" w:rsidRDefault="00A50EAD" w:rsidP="004A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7255611"/>
      <w:docPartObj>
        <w:docPartGallery w:val="Page Numbers (Bottom of Page)"/>
        <w:docPartUnique/>
      </w:docPartObj>
    </w:sdtPr>
    <w:sdtEndPr>
      <w:rPr>
        <w:noProof/>
      </w:rPr>
    </w:sdtEndPr>
    <w:sdtContent>
      <w:p w14:paraId="3255E5B8" w14:textId="3F49C352" w:rsidR="004A0A98" w:rsidRDefault="004A0A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FAA85" w14:textId="77777777" w:rsidR="00A50EAD" w:rsidRDefault="00A50EAD" w:rsidP="004A0A98">
      <w:pPr>
        <w:spacing w:after="0" w:line="240" w:lineRule="auto"/>
      </w:pPr>
      <w:r>
        <w:separator/>
      </w:r>
    </w:p>
  </w:footnote>
  <w:footnote w:type="continuationSeparator" w:id="0">
    <w:p w14:paraId="1871C492" w14:textId="77777777" w:rsidR="00A50EAD" w:rsidRDefault="00A50EAD" w:rsidP="004A0A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94"/>
    <w:rsid w:val="000213B6"/>
    <w:rsid w:val="00044D50"/>
    <w:rsid w:val="000536D5"/>
    <w:rsid w:val="00053DE7"/>
    <w:rsid w:val="000957A6"/>
    <w:rsid w:val="000972EC"/>
    <w:rsid w:val="000A21FF"/>
    <w:rsid w:val="000A3F42"/>
    <w:rsid w:val="000A6739"/>
    <w:rsid w:val="000B5ACD"/>
    <w:rsid w:val="000C5220"/>
    <w:rsid w:val="000D38DC"/>
    <w:rsid w:val="00102A40"/>
    <w:rsid w:val="00102D2C"/>
    <w:rsid w:val="00113CF2"/>
    <w:rsid w:val="001207AE"/>
    <w:rsid w:val="00120A21"/>
    <w:rsid w:val="00134405"/>
    <w:rsid w:val="00141077"/>
    <w:rsid w:val="001859CA"/>
    <w:rsid w:val="00187B96"/>
    <w:rsid w:val="001A1985"/>
    <w:rsid w:val="001A3E34"/>
    <w:rsid w:val="001C20D6"/>
    <w:rsid w:val="001C6A28"/>
    <w:rsid w:val="001E026B"/>
    <w:rsid w:val="001E1ACC"/>
    <w:rsid w:val="001E577C"/>
    <w:rsid w:val="001F0FC4"/>
    <w:rsid w:val="001F344A"/>
    <w:rsid w:val="0020579D"/>
    <w:rsid w:val="00222798"/>
    <w:rsid w:val="0023683D"/>
    <w:rsid w:val="00270A1B"/>
    <w:rsid w:val="00282452"/>
    <w:rsid w:val="00292D97"/>
    <w:rsid w:val="002A468E"/>
    <w:rsid w:val="002C5CD3"/>
    <w:rsid w:val="002E362D"/>
    <w:rsid w:val="002E4366"/>
    <w:rsid w:val="002E623D"/>
    <w:rsid w:val="002F1DC7"/>
    <w:rsid w:val="002F7453"/>
    <w:rsid w:val="00326416"/>
    <w:rsid w:val="00327A21"/>
    <w:rsid w:val="0035410F"/>
    <w:rsid w:val="003A55D3"/>
    <w:rsid w:val="003B13EF"/>
    <w:rsid w:val="003B7E91"/>
    <w:rsid w:val="003C32D7"/>
    <w:rsid w:val="003D0AE2"/>
    <w:rsid w:val="003D1B13"/>
    <w:rsid w:val="00406928"/>
    <w:rsid w:val="004217F3"/>
    <w:rsid w:val="004741F8"/>
    <w:rsid w:val="004A0A98"/>
    <w:rsid w:val="004D102C"/>
    <w:rsid w:val="004F3423"/>
    <w:rsid w:val="00526850"/>
    <w:rsid w:val="00543951"/>
    <w:rsid w:val="00550A7C"/>
    <w:rsid w:val="0055666D"/>
    <w:rsid w:val="00562CD6"/>
    <w:rsid w:val="00574D73"/>
    <w:rsid w:val="00577D66"/>
    <w:rsid w:val="00595F07"/>
    <w:rsid w:val="005A1C0F"/>
    <w:rsid w:val="005A314B"/>
    <w:rsid w:val="005B3BCA"/>
    <w:rsid w:val="005E5CE1"/>
    <w:rsid w:val="005E779D"/>
    <w:rsid w:val="005F7C9C"/>
    <w:rsid w:val="006031AE"/>
    <w:rsid w:val="00621221"/>
    <w:rsid w:val="00621A4D"/>
    <w:rsid w:val="006273EB"/>
    <w:rsid w:val="00641B89"/>
    <w:rsid w:val="00643864"/>
    <w:rsid w:val="00650D70"/>
    <w:rsid w:val="00672F37"/>
    <w:rsid w:val="006953B1"/>
    <w:rsid w:val="006A2655"/>
    <w:rsid w:val="006C01BB"/>
    <w:rsid w:val="006C6958"/>
    <w:rsid w:val="006C7D40"/>
    <w:rsid w:val="00705E4A"/>
    <w:rsid w:val="00762AA9"/>
    <w:rsid w:val="00766D7C"/>
    <w:rsid w:val="00777AF1"/>
    <w:rsid w:val="007901AB"/>
    <w:rsid w:val="00796C74"/>
    <w:rsid w:val="007B3041"/>
    <w:rsid w:val="007B7CBC"/>
    <w:rsid w:val="007D5A9C"/>
    <w:rsid w:val="007E6394"/>
    <w:rsid w:val="007F10D0"/>
    <w:rsid w:val="007F2E34"/>
    <w:rsid w:val="008006F8"/>
    <w:rsid w:val="00800957"/>
    <w:rsid w:val="008018A8"/>
    <w:rsid w:val="00803B0D"/>
    <w:rsid w:val="00804114"/>
    <w:rsid w:val="008143C2"/>
    <w:rsid w:val="0081588A"/>
    <w:rsid w:val="0083700B"/>
    <w:rsid w:val="008436B3"/>
    <w:rsid w:val="00864290"/>
    <w:rsid w:val="00866373"/>
    <w:rsid w:val="00876218"/>
    <w:rsid w:val="00880958"/>
    <w:rsid w:val="00884DC8"/>
    <w:rsid w:val="008859AB"/>
    <w:rsid w:val="008C1315"/>
    <w:rsid w:val="008D1F33"/>
    <w:rsid w:val="008D229D"/>
    <w:rsid w:val="008D742D"/>
    <w:rsid w:val="008E3965"/>
    <w:rsid w:val="008E76D0"/>
    <w:rsid w:val="008F1A20"/>
    <w:rsid w:val="008F2B2A"/>
    <w:rsid w:val="00911821"/>
    <w:rsid w:val="00931E6D"/>
    <w:rsid w:val="00932F7A"/>
    <w:rsid w:val="00950D6E"/>
    <w:rsid w:val="0096050A"/>
    <w:rsid w:val="00972B65"/>
    <w:rsid w:val="0098686F"/>
    <w:rsid w:val="009C175F"/>
    <w:rsid w:val="00A048CB"/>
    <w:rsid w:val="00A0751D"/>
    <w:rsid w:val="00A33F80"/>
    <w:rsid w:val="00A448B2"/>
    <w:rsid w:val="00A50EAD"/>
    <w:rsid w:val="00A5543A"/>
    <w:rsid w:val="00A56A58"/>
    <w:rsid w:val="00A64DC1"/>
    <w:rsid w:val="00A65E85"/>
    <w:rsid w:val="00A74BB3"/>
    <w:rsid w:val="00A9216D"/>
    <w:rsid w:val="00A96C77"/>
    <w:rsid w:val="00AA1AA6"/>
    <w:rsid w:val="00AD09C3"/>
    <w:rsid w:val="00B232B5"/>
    <w:rsid w:val="00B3350B"/>
    <w:rsid w:val="00B632CF"/>
    <w:rsid w:val="00B71B22"/>
    <w:rsid w:val="00B71F64"/>
    <w:rsid w:val="00B776B9"/>
    <w:rsid w:val="00B9151B"/>
    <w:rsid w:val="00BE2B97"/>
    <w:rsid w:val="00BF2FB4"/>
    <w:rsid w:val="00BF4EBC"/>
    <w:rsid w:val="00C35BBD"/>
    <w:rsid w:val="00C417FE"/>
    <w:rsid w:val="00C4538E"/>
    <w:rsid w:val="00C74CFE"/>
    <w:rsid w:val="00C82168"/>
    <w:rsid w:val="00C91E6A"/>
    <w:rsid w:val="00C93D23"/>
    <w:rsid w:val="00CA323A"/>
    <w:rsid w:val="00CA6234"/>
    <w:rsid w:val="00CF2328"/>
    <w:rsid w:val="00CF4694"/>
    <w:rsid w:val="00CF4B8D"/>
    <w:rsid w:val="00D022DF"/>
    <w:rsid w:val="00D06EC9"/>
    <w:rsid w:val="00D20DF1"/>
    <w:rsid w:val="00D342E3"/>
    <w:rsid w:val="00D524E7"/>
    <w:rsid w:val="00D6193C"/>
    <w:rsid w:val="00D62665"/>
    <w:rsid w:val="00D736F4"/>
    <w:rsid w:val="00D83E75"/>
    <w:rsid w:val="00D91A92"/>
    <w:rsid w:val="00D96D0D"/>
    <w:rsid w:val="00DB3926"/>
    <w:rsid w:val="00DC5F0C"/>
    <w:rsid w:val="00E14122"/>
    <w:rsid w:val="00E62AF8"/>
    <w:rsid w:val="00E63519"/>
    <w:rsid w:val="00E64AAA"/>
    <w:rsid w:val="00E67E46"/>
    <w:rsid w:val="00EA0FB0"/>
    <w:rsid w:val="00EB2CA5"/>
    <w:rsid w:val="00EF57C6"/>
    <w:rsid w:val="00F10C74"/>
    <w:rsid w:val="00F11222"/>
    <w:rsid w:val="00F32060"/>
    <w:rsid w:val="00F3232A"/>
    <w:rsid w:val="00F6487A"/>
    <w:rsid w:val="00F734FB"/>
    <w:rsid w:val="00F73859"/>
    <w:rsid w:val="00F75FFC"/>
    <w:rsid w:val="00F76EE0"/>
    <w:rsid w:val="00F85485"/>
    <w:rsid w:val="00FB0A1C"/>
    <w:rsid w:val="00FB7F90"/>
    <w:rsid w:val="00FC336A"/>
    <w:rsid w:val="00FD54DE"/>
    <w:rsid w:val="00FF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B759"/>
  <w15:docId w15:val="{BB7470B1-9738-4547-9FB8-D6BCB632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72F37"/>
    <w:pPr>
      <w:spacing w:after="0" w:line="240" w:lineRule="auto"/>
    </w:pPr>
    <w:rPr>
      <w:rFonts w:ascii="SimHei" w:eastAsia="SimHei" w:hAnsi="SimHei" w:cstheme="majorBidi"/>
      <w:szCs w:val="20"/>
    </w:rPr>
  </w:style>
  <w:style w:type="paragraph" w:styleId="Header">
    <w:name w:val="header"/>
    <w:basedOn w:val="Normal"/>
    <w:link w:val="HeaderChar"/>
    <w:uiPriority w:val="99"/>
    <w:unhideWhenUsed/>
    <w:rsid w:val="004A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A98"/>
  </w:style>
  <w:style w:type="paragraph" w:styleId="Footer">
    <w:name w:val="footer"/>
    <w:basedOn w:val="Normal"/>
    <w:link w:val="FooterChar"/>
    <w:uiPriority w:val="99"/>
    <w:unhideWhenUsed/>
    <w:rsid w:val="004A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A98"/>
  </w:style>
  <w:style w:type="paragraph" w:styleId="BalloonText">
    <w:name w:val="Balloon Text"/>
    <w:basedOn w:val="Normal"/>
    <w:link w:val="BalloonTextChar"/>
    <w:uiPriority w:val="99"/>
    <w:semiHidden/>
    <w:unhideWhenUsed/>
    <w:rsid w:val="004A0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6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TotalTime>
  <Pages>1</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Ron Wood</cp:lastModifiedBy>
  <cp:revision>13</cp:revision>
  <cp:lastPrinted>2020-10-07T14:38:00Z</cp:lastPrinted>
  <dcterms:created xsi:type="dcterms:W3CDTF">2020-10-01T14:33:00Z</dcterms:created>
  <dcterms:modified xsi:type="dcterms:W3CDTF">2020-10-07T14:38:00Z</dcterms:modified>
</cp:coreProperties>
</file>